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0"/>
          <w:szCs w:val="40"/>
          <w:u w:val="single"/>
          <w:rtl w:val="0"/>
        </w:rPr>
        <w:t xml:space="preserve">Medical Leave Policy Template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1. Purpose &amp; Brief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policy aims to provide employees of [Organization Name] with clear guidelines and support when seeking medical leave due to illness, injury, or other medical conditions.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2. Scope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policy applies to all full-time employees of [Organization Name]. Part-time employees and contractors may refer to their specific contractual agreements for related provisions.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3. Eligibility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Employees who have been with [Organization Name] for a minimum of [e.g., "six months"] are eligible to apply for medical leave.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4. Duration of Leave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Employees can avail up to [e.g., "12 weeks"] of medical leave in a calendar year. Extensions can be considered based on medical certifications and organizational requirements.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5. Documentation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Employees must provide a valid medical certificate from a registered medical practitioner, detailing the nature of the illness and the estimated recovery time.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6. Return to Work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Upon recovery, employees are expected to notify their respective managers and HR at least [e.g., "one week"] in advance of their return. A fitness certificate might be required based on the nature of the illness.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7. Compensation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As per the FMLA, employers are not mandated to provide paid leave1. However, [Organization Name] allows employees to utilize their accrued paid leaves like sick leave or vacation during this period.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8. Confidentiality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All medical records and information will be kept confidential and will only be accessed by authorized personnel for official purposes.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9. Non-retaliation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Employees availing medical leave will not face any form of retaliation or discrimination. Any such incidents should be reported to HR immediately.</w:t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  <w:i w:val="1"/>
          <w:iCs w:val="1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rtl w:val="0"/>
        </w:rPr>
        <w:t xml:space="preserve">Customize the policy based on the specific needs, legal requirements, and practices of your organization. Ensure compliance with relevant employment laws and regulations.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